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10" w:rsidRPr="003E2D10" w:rsidRDefault="003E2D10" w:rsidP="003E2D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n-MY"/>
        </w:rPr>
      </w:pPr>
      <w:r w:rsidRPr="003E2D10">
        <w:rPr>
          <w:rFonts w:ascii="Arial" w:eastAsia="Times New Roman" w:hAnsi="Arial" w:cs="Arial"/>
          <w:color w:val="222222"/>
          <w:sz w:val="19"/>
          <w:szCs w:val="19"/>
          <w:lang w:eastAsia="en-MY"/>
        </w:rPr>
        <w:t>Research Ideas on Respiratory Conditions and Tobacco Dependency</w:t>
      </w:r>
    </w:p>
    <w:p w:rsidR="00B55712" w:rsidRPr="00B55712" w:rsidRDefault="00B55712" w:rsidP="00B557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n-MY"/>
        </w:rPr>
      </w:pPr>
      <w:r w:rsidRPr="00B55712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MY"/>
        </w:rPr>
        <w:t>Developing and piloting an ICT-based intervention for adult asthma with limited health literacy to improve asthma self-management: A RESPIRE PhD</w:t>
      </w:r>
    </w:p>
    <w:p w:rsidR="003E2D10" w:rsidRPr="003E2D10" w:rsidRDefault="003E2D10" w:rsidP="003E2D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n-MY"/>
        </w:rPr>
      </w:pPr>
      <w:r w:rsidRPr="003E2D10">
        <w:rPr>
          <w:rFonts w:ascii="Arial" w:eastAsia="Times New Roman" w:hAnsi="Arial" w:cs="Arial"/>
          <w:color w:val="222222"/>
          <w:sz w:val="19"/>
          <w:szCs w:val="19"/>
          <w:lang w:eastAsia="en-MY"/>
        </w:rPr>
        <w:br/>
        <w:t>Hani Salim</w:t>
      </w:r>
      <w:r w:rsidRPr="003E2D10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MY"/>
        </w:rPr>
        <w:t>1</w:t>
      </w:r>
      <w:r w:rsidRPr="003E2D10">
        <w:rPr>
          <w:rFonts w:ascii="Arial" w:eastAsia="Times New Roman" w:hAnsi="Arial" w:cs="Arial"/>
          <w:color w:val="222222"/>
          <w:sz w:val="19"/>
          <w:szCs w:val="19"/>
          <w:lang w:eastAsia="en-MY"/>
        </w:rPr>
        <w:t>, Hilary Pinnock</w:t>
      </w:r>
      <w:r w:rsidRPr="003E2D10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MY"/>
        </w:rPr>
        <w:t>2</w:t>
      </w:r>
      <w:r w:rsidRPr="003E2D10">
        <w:rPr>
          <w:rFonts w:ascii="Arial" w:eastAsia="Times New Roman" w:hAnsi="Arial" w:cs="Arial"/>
          <w:color w:val="222222"/>
          <w:sz w:val="19"/>
          <w:szCs w:val="19"/>
          <w:lang w:eastAsia="en-MY"/>
        </w:rPr>
        <w:t>, Ingrid Young</w:t>
      </w:r>
      <w:r w:rsidRPr="003E2D10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MY"/>
        </w:rPr>
        <w:t>2</w:t>
      </w:r>
      <w:r w:rsidRPr="003E2D10">
        <w:rPr>
          <w:rFonts w:ascii="Arial" w:eastAsia="Times New Roman" w:hAnsi="Arial" w:cs="Arial"/>
          <w:color w:val="222222"/>
          <w:sz w:val="19"/>
          <w:szCs w:val="19"/>
          <w:lang w:eastAsia="en-MY"/>
        </w:rPr>
        <w:t xml:space="preserve">, Ping </w:t>
      </w:r>
      <w:proofErr w:type="spellStart"/>
      <w:r w:rsidRPr="003E2D10">
        <w:rPr>
          <w:rFonts w:ascii="Arial" w:eastAsia="Times New Roman" w:hAnsi="Arial" w:cs="Arial"/>
          <w:color w:val="222222"/>
          <w:sz w:val="19"/>
          <w:szCs w:val="19"/>
          <w:lang w:eastAsia="en-MY"/>
        </w:rPr>
        <w:t>Yein</w:t>
      </w:r>
      <w:proofErr w:type="spellEnd"/>
      <w:r w:rsidRPr="003E2D10">
        <w:rPr>
          <w:rFonts w:ascii="Arial" w:eastAsia="Times New Roman" w:hAnsi="Arial" w:cs="Arial"/>
          <w:color w:val="222222"/>
          <w:sz w:val="19"/>
          <w:szCs w:val="19"/>
          <w:lang w:eastAsia="en-MY"/>
        </w:rPr>
        <w:t xml:space="preserve"> Lee</w:t>
      </w:r>
      <w:r w:rsidRPr="003E2D10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MY"/>
        </w:rPr>
        <w:t>3</w:t>
      </w:r>
      <w:r w:rsidRPr="003E2D10">
        <w:rPr>
          <w:rFonts w:ascii="Arial" w:eastAsia="Times New Roman" w:hAnsi="Arial" w:cs="Arial"/>
          <w:color w:val="222222"/>
          <w:sz w:val="19"/>
          <w:szCs w:val="19"/>
          <w:lang w:eastAsia="en-MY"/>
        </w:rPr>
        <w:t xml:space="preserve">, </w:t>
      </w:r>
      <w:proofErr w:type="spellStart"/>
      <w:r w:rsidRPr="003E2D10">
        <w:rPr>
          <w:rFonts w:ascii="Arial" w:eastAsia="Times New Roman" w:hAnsi="Arial" w:cs="Arial"/>
          <w:color w:val="222222"/>
          <w:sz w:val="19"/>
          <w:szCs w:val="19"/>
          <w:lang w:eastAsia="en-MY"/>
        </w:rPr>
        <w:t>Sazlina</w:t>
      </w:r>
      <w:proofErr w:type="spellEnd"/>
      <w:r w:rsidRPr="003E2D10">
        <w:rPr>
          <w:rFonts w:ascii="Arial" w:eastAsia="Times New Roman" w:hAnsi="Arial" w:cs="Arial"/>
          <w:color w:val="222222"/>
          <w:sz w:val="19"/>
          <w:szCs w:val="19"/>
          <w:lang w:eastAsia="en-MY"/>
        </w:rPr>
        <w:t xml:space="preserve"> </w:t>
      </w:r>
      <w:proofErr w:type="spellStart"/>
      <w:r w:rsidRPr="003E2D10">
        <w:rPr>
          <w:rFonts w:ascii="Arial" w:eastAsia="Times New Roman" w:hAnsi="Arial" w:cs="Arial"/>
          <w:color w:val="222222"/>
          <w:sz w:val="19"/>
          <w:szCs w:val="19"/>
          <w:lang w:eastAsia="en-MY"/>
        </w:rPr>
        <w:t>Shariff</w:t>
      </w:r>
      <w:proofErr w:type="spellEnd"/>
      <w:r w:rsidRPr="003E2D10">
        <w:rPr>
          <w:rFonts w:ascii="Arial" w:eastAsia="Times New Roman" w:hAnsi="Arial" w:cs="Arial"/>
          <w:color w:val="222222"/>
          <w:sz w:val="19"/>
          <w:szCs w:val="19"/>
          <w:lang w:eastAsia="en-MY"/>
        </w:rPr>
        <w:t xml:space="preserve"> Ghazali</w:t>
      </w:r>
      <w:r w:rsidRPr="003E2D10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MY"/>
        </w:rPr>
        <w:t>3</w:t>
      </w:r>
      <w:r w:rsidRPr="003E2D10">
        <w:rPr>
          <w:rFonts w:ascii="Arial" w:eastAsia="Times New Roman" w:hAnsi="Arial" w:cs="Arial"/>
          <w:color w:val="222222"/>
          <w:sz w:val="19"/>
          <w:szCs w:val="19"/>
          <w:lang w:eastAsia="en-MY"/>
        </w:rPr>
        <w:br/>
      </w:r>
      <w:r w:rsidRPr="003E2D10">
        <w:rPr>
          <w:rFonts w:ascii="Arial" w:eastAsia="Times New Roman" w:hAnsi="Arial" w:cs="Arial"/>
          <w:i/>
          <w:iCs/>
          <w:color w:val="222222"/>
          <w:sz w:val="19"/>
          <w:szCs w:val="19"/>
          <w:vertAlign w:val="superscript"/>
          <w:lang w:eastAsia="en-MY"/>
        </w:rPr>
        <w:t>1</w:t>
      </w:r>
      <w:r w:rsidRPr="003E2D10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MY"/>
        </w:rPr>
        <w:t>University Putra Malaysia, </w:t>
      </w:r>
      <w:r w:rsidRPr="003E2D10">
        <w:rPr>
          <w:rFonts w:ascii="Arial" w:eastAsia="Times New Roman" w:hAnsi="Arial" w:cs="Arial"/>
          <w:i/>
          <w:iCs/>
          <w:color w:val="222222"/>
          <w:sz w:val="19"/>
          <w:szCs w:val="19"/>
          <w:vertAlign w:val="superscript"/>
          <w:lang w:eastAsia="en-MY"/>
        </w:rPr>
        <w:t>2</w:t>
      </w:r>
      <w:r w:rsidRPr="003E2D10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MY"/>
        </w:rPr>
        <w:t>University of Edinburgh, </w:t>
      </w:r>
      <w:r w:rsidRPr="003E2D10">
        <w:rPr>
          <w:rFonts w:ascii="Arial" w:eastAsia="Times New Roman" w:hAnsi="Arial" w:cs="Arial"/>
          <w:i/>
          <w:iCs/>
          <w:color w:val="222222"/>
          <w:sz w:val="19"/>
          <w:szCs w:val="19"/>
          <w:vertAlign w:val="superscript"/>
          <w:lang w:eastAsia="en-MY"/>
        </w:rPr>
        <w:t>3</w:t>
      </w:r>
      <w:r w:rsidRPr="003E2D10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MY"/>
        </w:rPr>
        <w:t>Universiti Putra Malaysia</w:t>
      </w:r>
    </w:p>
    <w:p w:rsidR="003E2D10" w:rsidRPr="009740F3" w:rsidRDefault="008B0835" w:rsidP="00974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8B0835">
        <w:rPr>
          <w:rFonts w:ascii="Times New Roman" w:eastAsia="Times New Roman" w:hAnsi="Times New Roman" w:cs="Times New Roman"/>
          <w:sz w:val="24"/>
          <w:szCs w:val="24"/>
          <w:lang w:eastAsia="en-MY"/>
        </w:rPr>
        <w:pict>
          <v:rect id="_x0000_i1025" style="width:0;height:1.5pt" o:hralign="center" o:hrstd="t" o:hrnoshade="t" o:hr="t" fillcolor="#222" stroked="f"/>
        </w:pict>
      </w:r>
      <w:bookmarkStart w:id="0" w:name="_GoBack"/>
      <w:bookmarkEnd w:id="0"/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3E2D10" w:rsidRPr="003E2D10" w:rsidTr="003E2D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2D10" w:rsidRPr="003E2D10" w:rsidRDefault="003E2D10" w:rsidP="003E2D1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en-MY"/>
              </w:rPr>
            </w:pPr>
            <w:r w:rsidRPr="003E2D10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en-MY"/>
              </w:rPr>
              <w:t>Research Ideas on Respiratory Conditions and Tobacco Dependency Abstract</w:t>
            </w:r>
          </w:p>
          <w:p w:rsidR="003E2D10" w:rsidRPr="00B55712" w:rsidRDefault="003E2D10" w:rsidP="00B55712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3E2D10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en-MY"/>
              </w:rPr>
              <w:t>Research question:</w:t>
            </w: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 </w:t>
            </w:r>
            <w:r w:rsidR="00B55712" w:rsidRPr="00B55712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Does an information and communication technology (ICT)-based intervention that address health literacy needs improve self-management among people with asthma?</w:t>
            </w:r>
          </w:p>
          <w:p w:rsidR="003E2D10" w:rsidRPr="003E2D10" w:rsidRDefault="003E2D10" w:rsidP="003E2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r w:rsidRPr="003E2D10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en-MY"/>
              </w:rPr>
              <w:t>Background: </w:t>
            </w: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More than 90% of Malaysians have marginal/limited health literacy which is more predominant among Malay ethnicity.</w:t>
            </w:r>
            <w:r w:rsidRPr="003E2D10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en-MY"/>
              </w:rPr>
              <w:t>1</w:t>
            </w: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 Low health literacy is associated with erroneous health beliefs, poor inhaler techniques, poor adherence to self-management activities and poor clinical outcomes,</w:t>
            </w: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MY"/>
              </w:rPr>
              <w:t>2</w:t>
            </w: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 </w:t>
            </w: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MY"/>
              </w:rPr>
              <w:t>3</w:t>
            </w: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 supporting the need for interventions to target self-management interventions to adults with limited health literacy. Self-management improves asthma control, reduce exacerbations and improves quality of life.</w:t>
            </w:r>
            <w:r w:rsidRPr="003E2D10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en-MY"/>
              </w:rPr>
              <w:t>4</w:t>
            </w: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 One approach is to utilise an (ICT)-based intervention.</w:t>
            </w:r>
          </w:p>
          <w:p w:rsidR="003E2D10" w:rsidRPr="003E2D10" w:rsidRDefault="003E2D10" w:rsidP="003E2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r w:rsidRPr="003E2D10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en-MY"/>
              </w:rPr>
              <w:t>Possible methodology:</w:t>
            </w: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 My PhD will use mixed methodologies in three phases:</w:t>
            </w:r>
          </w:p>
          <w:p w:rsidR="003E2D10" w:rsidRPr="003E2D10" w:rsidRDefault="003E2D10" w:rsidP="003E2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Phase 1: Systematic review. Using Cochrane methodology, I will synthesis the clinical trial evidence for ICT-based interventions for asthma patients with limited literacy to identify features associated with adoption/usage and clinical effectiveness of interventions</w:t>
            </w:r>
          </w:p>
          <w:p w:rsidR="003E2D10" w:rsidRPr="003E2D10" w:rsidRDefault="003E2D10" w:rsidP="003E2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Phase 2: Qualitative study:   Focus groups/interviews with adults with asthma and limited health literacy to explore understanding of asthma, its treatments, and current self-management practices.  Examples of ICT-based interventions will be used to stimulate ideas.</w:t>
            </w:r>
          </w:p>
          <w:p w:rsidR="003E2D10" w:rsidRPr="003E2D10" w:rsidRDefault="003E2D10" w:rsidP="003E2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Phase 3: Development of prototype ICT-based intervention. Ten adult asthma patients of different age/ethnic groups with limited health literacy will be shown the ICT-based intervention and asked to feedback their perceptions using a ‘thinking aloud’ interview.</w:t>
            </w:r>
          </w:p>
          <w:p w:rsidR="003E2D10" w:rsidRPr="003E2D10" w:rsidRDefault="003E2D10" w:rsidP="003E2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r w:rsidRPr="003E2D10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en-MY"/>
              </w:rPr>
              <w:t>Questions to discuss:</w:t>
            </w:r>
          </w:p>
          <w:p w:rsidR="003E2D10" w:rsidRPr="003E2D10" w:rsidRDefault="003E2D10" w:rsidP="003E2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1) Are there any suggestions about ICT-based self-management interventions that may be effective in this group?</w:t>
            </w:r>
          </w:p>
          <w:p w:rsidR="003E2D10" w:rsidRPr="003E2D10" w:rsidRDefault="003E2D10" w:rsidP="003E2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2) We have three cultures/languages in Malaysia: Should I focus on one – or include all three?</w:t>
            </w:r>
          </w:p>
          <w:p w:rsidR="003E2D10" w:rsidRPr="003E2D10" w:rsidRDefault="003E2D10" w:rsidP="003E2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r w:rsidRPr="003E2D10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en-MY"/>
              </w:rPr>
              <w:t>References</w:t>
            </w:r>
          </w:p>
          <w:p w:rsidR="003E2D10" w:rsidRPr="003E2D10" w:rsidRDefault="003E2D10" w:rsidP="003E2D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Aris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T, </w:t>
            </w: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Yusoff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M, </w:t>
            </w: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Ghani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A, Ahmad N, Omar A, Tee GH, et al. National Health and Morbidity Survey. In: Health </w:t>
            </w: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IoP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, editor. Kuala Lumpur, 2015:291.</w:t>
            </w:r>
          </w:p>
          <w:p w:rsidR="003E2D10" w:rsidRPr="003E2D10" w:rsidRDefault="003E2D10" w:rsidP="003E2D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Federman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AD, Wolf MS, </w:t>
            </w: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Sofianou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A, </w:t>
            </w: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Martynenko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M, O'Connor R, Halm EA, et al. Self-management </w:t>
            </w: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behaviors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in older adults with asthma: associations with health literacy. </w:t>
            </w:r>
            <w:r w:rsidRPr="003E2D10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n-MY"/>
              </w:rPr>
              <w:t>Journal of the American Geriatrics Society</w:t>
            </w: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 2014;62(5):872-79.</w:t>
            </w:r>
          </w:p>
          <w:p w:rsidR="003E2D10" w:rsidRPr="003E2D10" w:rsidRDefault="003E2D10" w:rsidP="003E2D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Federman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AD, Wolf MS, </w:t>
            </w: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Sofianou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A, </w:t>
            </w: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O’Conor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R, </w:t>
            </w: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Martynenko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M, </w:t>
            </w: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Halm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EA, et al. Asthma outcomes are poor among older adults with low health literacy. </w:t>
            </w:r>
            <w:r w:rsidRPr="003E2D10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n-MY"/>
              </w:rPr>
              <w:t>Journal of Asthma</w:t>
            </w: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 2014;51(2):162-67.</w:t>
            </w:r>
          </w:p>
          <w:p w:rsidR="003E2D10" w:rsidRPr="003E2D10" w:rsidRDefault="003E2D10" w:rsidP="003E2D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Taylor SJ, </w:t>
            </w: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Pinnock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H, </w:t>
            </w: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Epiphaniou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E, Pearce G, </w:t>
            </w: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Parke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HL, </w:t>
            </w:r>
            <w:proofErr w:type="spellStart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Schwappach</w:t>
            </w:r>
            <w:proofErr w:type="spellEnd"/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 xml:space="preserve"> A, et al. A rapid synthesis of the evidence on interventions supporting self-management for people with long-term conditions: PRISMS–Practical systematic Review of Self-Management Support for long-</w:t>
            </w: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lastRenderedPageBreak/>
              <w:t>term conditions. 2014.</w:t>
            </w:r>
          </w:p>
          <w:p w:rsidR="003E2D10" w:rsidRPr="003E2D10" w:rsidRDefault="003E2D10" w:rsidP="003E2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 </w:t>
            </w:r>
          </w:p>
          <w:p w:rsidR="003E2D10" w:rsidRPr="003E2D10" w:rsidRDefault="003E2D10" w:rsidP="003E2D1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en-MY"/>
              </w:rPr>
            </w:pPr>
            <w:r w:rsidRPr="003E2D10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en-MY"/>
              </w:rPr>
              <w:t>Declaration of Interest</w:t>
            </w:r>
          </w:p>
          <w:p w:rsidR="003E2D10" w:rsidRPr="003E2D10" w:rsidRDefault="003E2D10" w:rsidP="003E2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r w:rsidRPr="003E2D10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en-MY"/>
              </w:rPr>
              <w:t>Declaration of Interest</w:t>
            </w: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:  None</w:t>
            </w:r>
          </w:p>
          <w:p w:rsidR="003E2D10" w:rsidRPr="003E2D10" w:rsidRDefault="003E2D10" w:rsidP="003E2D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</w:pPr>
            <w:r w:rsidRPr="003E2D10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MY"/>
              </w:rPr>
              <w:t>Funding:  NIHR Global Health Research Unit on Respiratory Health RESPIRE</w:t>
            </w:r>
          </w:p>
        </w:tc>
      </w:tr>
    </w:tbl>
    <w:p w:rsidR="006E3509" w:rsidRDefault="006E3509"/>
    <w:sectPr w:rsidR="006E3509" w:rsidSect="008B0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254C"/>
    <w:multiLevelType w:val="multilevel"/>
    <w:tmpl w:val="FDAC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3E2D10"/>
    <w:rsid w:val="002A2414"/>
    <w:rsid w:val="003E2D10"/>
    <w:rsid w:val="0059757B"/>
    <w:rsid w:val="006E3509"/>
    <w:rsid w:val="006E3A1A"/>
    <w:rsid w:val="008B0835"/>
    <w:rsid w:val="009740F3"/>
    <w:rsid w:val="00B5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35"/>
  </w:style>
  <w:style w:type="paragraph" w:styleId="2">
    <w:name w:val="heading 2"/>
    <w:basedOn w:val="a"/>
    <w:link w:val="2Char"/>
    <w:uiPriority w:val="9"/>
    <w:qFormat/>
    <w:rsid w:val="003E2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M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E2D10"/>
    <w:rPr>
      <w:rFonts w:ascii="Times New Roman" w:eastAsia="Times New Roman" w:hAnsi="Times New Roman" w:cs="Times New Roman"/>
      <w:b/>
      <w:bCs/>
      <w:sz w:val="36"/>
      <w:szCs w:val="36"/>
      <w:lang w:eastAsia="en-MY"/>
    </w:rPr>
  </w:style>
  <w:style w:type="paragraph" w:styleId="Web">
    <w:name w:val="Normal (Web)"/>
    <w:basedOn w:val="a"/>
    <w:uiPriority w:val="99"/>
    <w:semiHidden/>
    <w:unhideWhenUsed/>
    <w:rsid w:val="003E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a3">
    <w:name w:val="Strong"/>
    <w:basedOn w:val="a0"/>
    <w:uiPriority w:val="22"/>
    <w:qFormat/>
    <w:rsid w:val="003E2D10"/>
    <w:rPr>
      <w:b/>
      <w:bCs/>
    </w:rPr>
  </w:style>
  <w:style w:type="character" w:styleId="a4">
    <w:name w:val="Emphasis"/>
    <w:basedOn w:val="a0"/>
    <w:uiPriority w:val="20"/>
    <w:qFormat/>
    <w:rsid w:val="003E2D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 Salim</dc:creator>
  <cp:lastModifiedBy>user</cp:lastModifiedBy>
  <cp:revision>2</cp:revision>
  <dcterms:created xsi:type="dcterms:W3CDTF">2019-10-31T14:17:00Z</dcterms:created>
  <dcterms:modified xsi:type="dcterms:W3CDTF">2019-10-31T14:17:00Z</dcterms:modified>
</cp:coreProperties>
</file>